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spacing w:lineRule="auto" w:line="27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к закупаемой продукции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  <w:t>по лоту №</w:t>
      </w:r>
    </w:p>
    <w:p>
      <w:pPr>
        <w:pStyle w:val="Normal"/>
        <w:spacing w:lineRule="auto" w:line="276"/>
        <w:jc w:val="center"/>
        <w:rPr>
          <w:rFonts w:eastAsia="Times New Roman"/>
          <w:b/>
          <w:kern w:val="2"/>
          <w:sz w:val="26"/>
          <w:szCs w:val="26"/>
        </w:rPr>
      </w:pPr>
      <w:r>
        <w:rPr>
          <w:rFonts w:eastAsia="Times New Roman"/>
          <w:b/>
          <w:kern w:val="2"/>
          <w:sz w:val="26"/>
          <w:szCs w:val="26"/>
        </w:rPr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ОКПД 2:</w:t>
      </w:r>
      <w:r>
        <w:rPr>
          <w:rStyle w:val="Docdata"/>
          <w:b/>
          <w:color w:val="000000"/>
        </w:rPr>
        <w:t>П</w:t>
      </w:r>
      <w:r>
        <w:rPr>
          <w:b/>
          <w:color w:val="000000"/>
        </w:rPr>
        <w:t>олуприцеп ЧМЗАП (Полуприцеп-г/п 30 тн)</w:t>
      </w:r>
      <w:r>
        <w:rPr>
          <w:b/>
        </w:rPr>
        <w:t xml:space="preserve"> в рамках</w:t>
      </w:r>
    </w:p>
    <w:p>
      <w:pPr>
        <w:pStyle w:val="Normal"/>
        <w:spacing w:lineRule="auto" w:line="276"/>
        <w:jc w:val="center"/>
        <w:rPr>
          <w:b/>
        </w:rPr>
      </w:pPr>
      <w:r>
        <w:rPr>
          <w:b/>
        </w:rPr>
        <w:t>выполнения инвестиционных проектов</w:t>
      </w:r>
    </w:p>
    <w:p>
      <w:pPr>
        <w:pStyle w:val="Normal"/>
        <w:spacing w:lineRule="auto" w:line="276"/>
        <w:jc w:val="center"/>
        <w:rPr>
          <w:b/>
        </w:rPr>
      </w:pPr>
      <w:r>
        <w:rPr/>
      </w:r>
    </w:p>
    <w:p>
      <w:pPr>
        <w:pStyle w:val="Normal"/>
        <w:spacing w:lineRule="auto" w:line="276"/>
        <w:jc w:val="center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 xml:space="preserve">Лист согласования технических требований к закупке </w:t>
      </w:r>
    </w:p>
    <w:p>
      <w:pPr>
        <w:pStyle w:val="Normal"/>
        <w:spacing w:lineRule="auto" w:line="276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 </w:t>
      </w:r>
      <w:bookmarkStart w:id="0" w:name="_Toc139856287_Копия_1"/>
      <w:bookmarkStart w:id="1" w:name="_Toc137554584_Копия_1"/>
      <w:bookmarkStart w:id="2" w:name="_Toc141696704_Копия_1"/>
      <w:bookmarkEnd w:id="0"/>
      <w:bookmarkEnd w:id="1"/>
      <w:bookmarkEnd w:id="2"/>
      <w:r>
        <w:rPr>
          <w:rFonts w:eastAsia="Calibri"/>
          <w:b/>
        </w:rPr>
        <w:t xml:space="preserve">ОКПД2 29.10.59.270 Поставка </w:t>
      </w:r>
      <w:r>
        <w:rPr>
          <w:rStyle w:val="Docdata"/>
          <w:b/>
          <w:color w:val="000000"/>
        </w:rPr>
        <w:t>П</w:t>
      </w:r>
      <w:r>
        <w:rPr>
          <w:b/>
          <w:color w:val="000000"/>
        </w:rPr>
        <w:t>олуприцеп ЧМЗАП (Полуприцеп-г/п 30 тн)</w:t>
      </w:r>
      <w:r>
        <w:rPr>
          <w:color w:val="000000"/>
        </w:rPr>
        <w:t xml:space="preserve"> </w:t>
      </w:r>
      <w:r>
        <w:rPr>
          <w:rFonts w:eastAsia="Calibri"/>
          <w:b/>
        </w:rPr>
        <w:t>в рамках выполнения инвестиционного проекта К_508-953.1, К_508-953.2</w:t>
      </w:r>
    </w:p>
    <w:p>
      <w:pPr>
        <w:pStyle w:val="Normal"/>
        <w:spacing w:lineRule="auto" w:line="276"/>
        <w:jc w:val="center"/>
        <w:rPr/>
      </w:pPr>
      <w:r>
        <w:rPr/>
      </w:r>
    </w:p>
    <w:tbl>
      <w:tblPr>
        <w:tblW w:w="465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094"/>
        <w:gridCol w:w="3325"/>
        <w:gridCol w:w="2598"/>
      </w:tblGrid>
      <w:tr>
        <w:trPr>
          <w:trHeight w:val="760" w:hRule="atLeast"/>
        </w:trPr>
        <w:tc>
          <w:tcPr>
            <w:tcW w:w="4094" w:type="dxa"/>
            <w:tcBorders/>
            <w:vAlign w:val="bottom"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>
                <w:b/>
              </w:rPr>
            </w:pPr>
            <w:r>
              <w:rPr>
                <w:b/>
              </w:rPr>
              <w:t>РАЗРАБОТАЛ:</w:t>
            </w:r>
          </w:p>
          <w:p>
            <w:pPr>
              <w:pStyle w:val="BodyTextIndent"/>
              <w:widowControl w:val="false"/>
              <w:tabs>
                <w:tab w:val="clear" w:pos="708"/>
                <w:tab w:val="left" w:pos="426" w:leader="none"/>
              </w:tabs>
              <w:ind w:left="449" w:hanging="0"/>
              <w:rPr>
                <w:u w:val="single"/>
              </w:rPr>
            </w:pPr>
            <w:r>
              <w:rPr>
                <w:u w:val="single"/>
              </w:rPr>
              <w:t xml:space="preserve">Инженер 1 кат. АТО </w:t>
            </w:r>
          </w:p>
        </w:tc>
        <w:tc>
          <w:tcPr>
            <w:tcW w:w="3325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0" w:hanging="0"/>
              <w:rPr/>
            </w:pPr>
            <w:r>
              <w:rPr/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>
                <w:u w:val="single"/>
              </w:rPr>
            </w:pPr>
            <w:r>
              <w:rPr>
                <w:u w:val="single"/>
              </w:rPr>
            </w:r>
          </w:p>
          <w:p>
            <w:pPr>
              <w:pStyle w:val="BodyTextIndent"/>
              <w:widowControl w:val="false"/>
              <w:ind w:left="34" w:hanging="0"/>
              <w:rPr>
                <w:u w:val="single"/>
              </w:rPr>
            </w:pPr>
            <w:r>
              <w:rPr>
                <w:u w:val="single"/>
              </w:rPr>
              <w:t>А.С. Васильев</w:t>
            </w:r>
          </w:p>
        </w:tc>
      </w:tr>
      <w:tr>
        <w:trPr>
          <w:trHeight w:val="509" w:hRule="atLeast"/>
        </w:trPr>
        <w:tc>
          <w:tcPr>
            <w:tcW w:w="40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</w:t>
            </w:r>
            <w:r>
              <w:rPr>
                <w:rFonts w:cs="Arial"/>
                <w:sz w:val="24"/>
                <w:szCs w:val="24"/>
              </w:rPr>
              <w:t>должность лица</w:t>
            </w:r>
          </w:p>
        </w:tc>
        <w:tc>
          <w:tcPr>
            <w:tcW w:w="332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ind w:left="42" w:right="29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ind w:left="-12" w:hanging="283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</w:t>
            </w:r>
            <w:r>
              <w:rPr>
                <w:rFonts w:cs="Arial"/>
                <w:sz w:val="24"/>
                <w:szCs w:val="24"/>
              </w:rPr>
              <w:t>расшифровка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1009" w:hRule="atLeast"/>
        </w:trPr>
        <w:tc>
          <w:tcPr>
            <w:tcW w:w="4094" w:type="dxa"/>
            <w:tcBorders/>
            <w:vAlign w:val="bottom"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>
                <w:b/>
              </w:rPr>
              <w:t>СОГЛАСОВАНО: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/>
              <w:t xml:space="preserve"> </w:t>
            </w:r>
            <w:r>
              <w:rPr>
                <w:u w:val="single"/>
              </w:rPr>
              <w:t>Директор ЦЭС</w:t>
            </w:r>
          </w:p>
        </w:tc>
        <w:tc>
          <w:tcPr>
            <w:tcW w:w="3325" w:type="dxa"/>
            <w:tcBorders/>
            <w:vAlign w:val="bottom"/>
          </w:tcPr>
          <w:p>
            <w:pPr>
              <w:pStyle w:val="BodyTextIndent"/>
              <w:widowControl w:val="false"/>
              <w:ind w:left="42" w:right="297" w:hanging="0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34" w:hanging="0"/>
              <w:rPr>
                <w:u w:val="single"/>
              </w:rPr>
            </w:pPr>
            <w:r>
              <w:rPr>
                <w:u w:val="single"/>
              </w:rPr>
              <w:t>П.Г. Иванов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rPr/>
            </w:pPr>
            <w:r>
              <w:rPr/>
              <w:t xml:space="preserve">  </w:t>
            </w:r>
            <w:r>
              <w:rPr/>
              <w:t>должность лица</w:t>
            </w:r>
          </w:p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>
                <w:i/>
                <w:i/>
                <w:iCs/>
              </w:rPr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>
                <w:b/>
              </w:rPr>
              <w:t>СОГЛАСОВАНО: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>
                <w:u w:val="single"/>
              </w:rPr>
              <w:t>Директор ЗЭС</w:t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0" w:hanging="0"/>
              <w:rPr>
                <w:u w:val="single"/>
              </w:rPr>
            </w:pPr>
            <w:r>
              <w:rPr>
                <w:u w:val="single"/>
              </w:rPr>
              <w:t>А.В. Аникин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rPr/>
            </w:pPr>
            <w:r>
              <w:rPr/>
              <w:t xml:space="preserve">  </w:t>
            </w:r>
            <w:r>
              <w:rPr/>
              <w:t xml:space="preserve">должность лица </w:t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>
                <w:i/>
                <w:i/>
                <w:iCs/>
              </w:rPr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>
                <w:b/>
              </w:rPr>
              <w:t>СОГЛАСОВАНО: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>
                <w:u w:val="single"/>
              </w:rPr>
              <w:t>Начальник АТО</w:t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rPr>
                <w:u w:val="single"/>
              </w:rPr>
            </w:pPr>
            <w:r>
              <w:rPr>
                <w:u w:val="single"/>
              </w:rPr>
              <w:t>А.Л. Бабиков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rPr/>
            </w:pPr>
            <w:r>
              <w:rPr/>
              <w:t xml:space="preserve">  </w:t>
            </w:r>
            <w:r>
              <w:rPr/>
              <w:t>должность лица</w:t>
            </w:r>
          </w:p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>
                <w:i/>
                <w:i/>
                <w:iCs/>
              </w:rPr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>
                <w:b/>
              </w:rPr>
              <w:t>СОГЛАСОВАНО: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>
                <w:u w:val="single"/>
              </w:rPr>
              <w:t>Начальник  УНПБ и ОТ</w:t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rPr>
                <w:u w:val="single"/>
              </w:rPr>
            </w:pPr>
            <w:r>
              <w:rPr>
                <w:u w:val="single"/>
              </w:rPr>
              <w:t>Д.И. Кривенков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rPr/>
            </w:pPr>
            <w:r>
              <w:rPr/>
              <w:t xml:space="preserve">  </w:t>
            </w:r>
            <w:r>
              <w:rPr/>
              <w:t>должность лица</w:t>
            </w:r>
          </w:p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>
                <w:i/>
                <w:i/>
                <w:iCs/>
              </w:rPr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  <w:vAlign w:val="bottom"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jc w:val="both"/>
              <w:rPr/>
            </w:pPr>
            <w:r>
              <w:rPr>
                <w:b/>
              </w:rPr>
              <w:t>СОГЛАСОВАНО: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>
                <w:u w:val="single"/>
              </w:rPr>
              <w:t>Зам. Генерального директора</w:t>
            </w:r>
          </w:p>
          <w:p>
            <w:pPr>
              <w:pStyle w:val="BodyTextIndent"/>
              <w:widowControl w:val="false"/>
              <w:ind w:left="360" w:right="-140" w:hanging="0"/>
              <w:rPr>
                <w:u w:val="single"/>
              </w:rPr>
            </w:pPr>
            <w:r>
              <w:rPr>
                <w:u w:val="single"/>
              </w:rPr>
              <w:t>по управлению ресурсами</w:t>
            </w:r>
          </w:p>
        </w:tc>
        <w:tc>
          <w:tcPr>
            <w:tcW w:w="3325" w:type="dxa"/>
            <w:tcBorders/>
            <w:vAlign w:val="bottom"/>
          </w:tcPr>
          <w:p>
            <w:pPr>
              <w:pStyle w:val="BodyTextIndent"/>
              <w:widowControl w:val="false"/>
              <w:ind w:left="42" w:right="297" w:hanging="0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  <w:vAlign w:val="bottom"/>
          </w:tcPr>
          <w:p>
            <w:pPr>
              <w:pStyle w:val="BodyTextIndent"/>
              <w:widowControl w:val="false"/>
              <w:ind w:left="0" w:hanging="0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rPr>
                <w:u w:val="single"/>
              </w:rPr>
            </w:pPr>
            <w:r>
              <w:rPr>
                <w:u w:val="single"/>
              </w:rPr>
              <w:t>Л.В. Разживин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rPr/>
            </w:pPr>
            <w:r>
              <w:rPr/>
              <w:t xml:space="preserve">     </w:t>
            </w:r>
            <w:r>
              <w:rPr/>
              <w:t>должность лица</w:t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  <w:p>
            <w:pPr>
              <w:pStyle w:val="BodyTextIndent"/>
              <w:widowControl w:val="false"/>
              <w:rPr/>
            </w:pPr>
            <w:r>
              <w:rPr/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>
                <w:i/>
                <w:i/>
                <w:iCs/>
              </w:rPr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  <w:p>
            <w:pPr>
              <w:pStyle w:val="BodyTextIndent"/>
              <w:widowControl w:val="false"/>
              <w:ind w:left="34" w:hanging="0"/>
              <w:rPr/>
            </w:pPr>
            <w:r>
              <w:rPr/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BodyTextIndent"/>
              <w:widowControl w:val="false"/>
              <w:numPr>
                <w:ilvl w:val="0"/>
                <w:numId w:val="9"/>
              </w:numPr>
              <w:spacing w:before="120" w:after="120"/>
              <w:ind w:left="462" w:right="17" w:hanging="360"/>
              <w:rPr>
                <w:b/>
              </w:rPr>
            </w:pPr>
            <w:r>
              <w:rPr>
                <w:b/>
              </w:rPr>
              <w:t>УТВЕРЖДАЮ:</w:t>
            </w:r>
          </w:p>
          <w:p>
            <w:pPr>
              <w:pStyle w:val="BodyTextIndent"/>
              <w:widowControl w:val="false"/>
              <w:tabs>
                <w:tab w:val="clear" w:pos="708"/>
                <w:tab w:val="left" w:pos="426" w:leader="none"/>
              </w:tabs>
              <w:rPr>
                <w:u w:val="single"/>
              </w:rPr>
            </w:pPr>
            <w:r>
              <w:rPr>
                <w:u w:val="single"/>
              </w:rPr>
              <w:t>Первый заместитель генерального директора – Главный инженер</w:t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left="42"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ind w:right="297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jc w:val="center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jc w:val="center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34" w:hanging="0"/>
              <w:jc w:val="center"/>
              <w:rPr/>
            </w:pPr>
            <w:r>
              <w:rPr/>
            </w:r>
          </w:p>
          <w:p>
            <w:pPr>
              <w:pStyle w:val="BodyTextIndent"/>
              <w:widowControl w:val="false"/>
              <w:ind w:left="0" w:hanging="0"/>
              <w:rPr>
                <w:u w:val="single"/>
              </w:rPr>
            </w:pPr>
            <w:r>
              <w:rPr>
                <w:u w:val="single"/>
              </w:rPr>
            </w:r>
          </w:p>
          <w:p>
            <w:pPr>
              <w:pStyle w:val="BodyTextIndent"/>
              <w:widowControl w:val="false"/>
              <w:ind w:left="0" w:hanging="0"/>
              <w:rPr>
                <w:u w:val="single"/>
              </w:rPr>
            </w:pPr>
            <w:r>
              <w:rPr>
                <w:u w:val="single"/>
              </w:rPr>
              <w:t>С.Н. Прокопенко</w:t>
            </w:r>
          </w:p>
        </w:tc>
      </w:tr>
      <w:tr>
        <w:trPr>
          <w:trHeight w:val="584" w:hRule="atLeast"/>
        </w:trPr>
        <w:tc>
          <w:tcPr>
            <w:tcW w:w="409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          </w:t>
            </w:r>
            <w:r>
              <w:rPr>
                <w:rFonts w:cs="Arial"/>
                <w:sz w:val="24"/>
                <w:szCs w:val="24"/>
              </w:rPr>
              <w:t>должность лица</w:t>
            </w:r>
          </w:p>
        </w:tc>
        <w:tc>
          <w:tcPr>
            <w:tcW w:w="3325" w:type="dxa"/>
            <w:tcBorders/>
          </w:tcPr>
          <w:p>
            <w:pPr>
              <w:pStyle w:val="BodyTextIndent"/>
              <w:widowControl w:val="false"/>
              <w:ind w:left="42" w:right="297" w:hanging="0"/>
              <w:jc w:val="center"/>
              <w:rPr/>
            </w:pPr>
            <w:r>
              <w:rPr/>
              <w:t>личная подпись</w:t>
            </w:r>
          </w:p>
        </w:tc>
        <w:tc>
          <w:tcPr>
            <w:tcW w:w="2598" w:type="dxa"/>
            <w:tcBorders/>
          </w:tcPr>
          <w:p>
            <w:pPr>
              <w:pStyle w:val="BodyTextIndent"/>
              <w:widowControl w:val="false"/>
              <w:ind w:left="34" w:hanging="0"/>
              <w:rPr/>
            </w:pPr>
            <w:r>
              <w:rPr/>
              <w:t xml:space="preserve">расшифровка </w:t>
            </w:r>
          </w:p>
        </w:tc>
      </w:tr>
    </w:tbl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sdt>
      <w:sdtPr>
        <w:docPartObj>
          <w:docPartGallery w:val="Table of Contents"/>
          <w:docPartUnique w:val="true"/>
        </w:docPartObj>
        <w:id w:val="758399518"/>
      </w:sdtPr>
      <w:sdtContent>
        <w:p>
          <w:pPr>
            <w:pStyle w:val="TOCHeading"/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сокращения………………………………………………………….....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Заказчик (подразделение заказчика)………………………………………………….. 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1. «Перечень и объем закупаемой продукции»……………………………...3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2. «Требования по срокам поставки продукции»……………………………4</w:t>
          </w:r>
        </w:p>
        <w:p>
          <w:pPr>
            <w:pStyle w:val="TOC2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Таблица 3. «Требования к продукции»………………………………………………...5</w:t>
          </w:r>
        </w:p>
        <w:p>
          <w:pPr>
            <w:pStyle w:val="TOC1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  <w:tab/>
            <w:t>...36</w:t>
          </w:r>
        </w:p>
        <w:p>
          <w:pPr>
            <w:pStyle w:val="TOC3"/>
            <w:ind w:left="446" w:hanging="0"/>
            <w:rPr/>
          </w:pPr>
          <w:r>
            <w:rPr/>
          </w:r>
        </w:p>
      </w:sdtContent>
    </w:sdt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ListParagraph"/>
        <w:numPr>
          <w:ilvl w:val="0"/>
          <w:numId w:val="5"/>
        </w:numPr>
        <w:jc w:val="center"/>
        <w:rPr>
          <w:b/>
        </w:rPr>
      </w:pPr>
      <w:r>
        <w:rPr>
          <w:b/>
        </w:rPr>
        <w:t>Общие сведения</w:t>
      </w:r>
    </w:p>
    <w:p>
      <w:pPr>
        <w:pStyle w:val="ListParagraph"/>
        <w:ind w:left="360" w:hanging="0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77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976"/>
        <w:gridCol w:w="7799"/>
      </w:tblGrid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>
        <w:trPr>
          <w:tblHeader w:val="true"/>
          <w:trHeight w:val="44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>
        <w:trPr>
          <w:tblHeader w:val="true"/>
          <w:trHeight w:val="285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Запасные части, инструменты и принадлежности</w:t>
            </w:r>
          </w:p>
        </w:tc>
      </w:tr>
      <w:tr>
        <w:trPr>
          <w:trHeight w:val="274" w:hRule="atLeast"/>
        </w:trPr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567" w:leader="none"/>
          <w:tab w:val="left" w:pos="709" w:leader="none"/>
        </w:tabs>
        <w:jc w:val="both"/>
        <w:rPr>
          <w:rFonts w:cs="Calibri"/>
          <w:i/>
          <w:i/>
        </w:rPr>
      </w:pPr>
      <w:r>
        <w:rPr>
          <w:b/>
          <w:bCs/>
        </w:rPr>
        <w:t xml:space="preserve">    </w:t>
      </w:r>
      <w:r>
        <w:rPr>
          <w:b/>
          <w:bCs/>
        </w:rPr>
        <w:t xml:space="preserve">Наименование закупаемой продукции 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rFonts w:cs="Calibri"/>
        </w:rPr>
      </w:pPr>
      <w:r>
        <w:rPr>
          <w:rStyle w:val="Docdata"/>
          <w:color w:val="000000"/>
        </w:rPr>
        <w:t>П</w:t>
      </w:r>
      <w:r>
        <w:rPr>
          <w:color w:val="000000"/>
        </w:rPr>
        <w:t>олуприцеп ЧМЗАП (Полуприцеп-г/п 30 тн)</w:t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  <w:bCs/>
        </w:rPr>
      </w:pPr>
      <w:r>
        <w:rPr>
          <w:b/>
          <w:bCs/>
        </w:rPr>
      </w:r>
    </w:p>
    <w:p>
      <w:pPr>
        <w:pStyle w:val="ListParagraph"/>
        <w:tabs>
          <w:tab w:val="clear" w:pos="708"/>
          <w:tab w:val="left" w:pos="567" w:leader="none"/>
          <w:tab w:val="left" w:pos="709" w:leader="none"/>
        </w:tabs>
        <w:ind w:left="360" w:hanging="0"/>
        <w:rPr>
          <w:b/>
        </w:rPr>
      </w:pPr>
      <w:r>
        <w:rPr>
          <w:b/>
        </w:rPr>
        <w:t>Цель использования закупаемой продукции</w:t>
      </w:r>
    </w:p>
    <w:p>
      <w:pPr>
        <w:pStyle w:val="Normal"/>
        <w:tabs>
          <w:tab w:val="clear" w:pos="708"/>
          <w:tab w:val="left" w:pos="567" w:leader="none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 и Западные электрические сети (ЗЭС).</w:t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567" w:leader="none"/>
        </w:tabs>
        <w:ind w:left="450" w:right="-2" w:hanging="450"/>
        <w:jc w:val="center"/>
        <w:rPr>
          <w:b/>
        </w:rPr>
      </w:pPr>
      <w:r>
        <w:rPr>
          <w:b/>
        </w:rPr>
        <w:t>Требования к продукции</w:t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80" w:right="-2" w:hanging="1080"/>
        <w:contextualSpacing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95"/>
        <w:gridCol w:w="6783"/>
        <w:gridCol w:w="1629"/>
        <w:gridCol w:w="1548"/>
      </w:tblGrid>
      <w:tr>
        <w:trPr>
          <w:trHeight w:val="678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п/п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Единица измерения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Количество</w:t>
            </w:r>
          </w:p>
        </w:tc>
      </w:tr>
      <w:tr>
        <w:trPr>
          <w:trHeight w:val="144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b/>
                <w:kern w:val="0"/>
                <w:sz w:val="22"/>
                <w:szCs w:val="22"/>
                <w:lang w:val="ru-RU" w:eastAsia="ru-RU" w:bidi="ar-SA"/>
              </w:rPr>
              <w:t>1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3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val="ru-RU" w:eastAsia="ru-RU" w:bidi="ar-SA"/>
              </w:rPr>
              <w:t>4</w:t>
            </w:r>
          </w:p>
        </w:tc>
      </w:tr>
      <w:tr>
        <w:trPr>
          <w:trHeight w:val="160" w:hRule="atLeast"/>
        </w:trPr>
        <w:tc>
          <w:tcPr>
            <w:tcW w:w="59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DengXian" w:cs="Times New Roman"/>
                <w:kern w:val="0"/>
                <w:sz w:val="22"/>
                <w:szCs w:val="22"/>
                <w:lang w:val="ru-RU" w:eastAsia="ru-RU" w:bidi="ar-SA"/>
              </w:rPr>
              <w:t>1.</w:t>
            </w:r>
          </w:p>
        </w:tc>
        <w:tc>
          <w:tcPr>
            <w:tcW w:w="67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</w:t>
            </w:r>
            <w:r>
              <w:rPr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олуприцеп ЧМЗАП (Полуприцеп-г/п 30 тн)</w:t>
            </w:r>
          </w:p>
        </w:tc>
        <w:tc>
          <w:tcPr>
            <w:tcW w:w="1629" w:type="dxa"/>
            <w:tcBorders/>
            <w:vAlign w:val="center"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val="ru-RU" w:eastAsia="ru-RU" w:bidi="ar-SA"/>
              </w:rPr>
              <w:t>шт.</w:t>
            </w:r>
          </w:p>
        </w:tc>
        <w:tc>
          <w:tcPr>
            <w:tcW w:w="15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DengXian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2</w:t>
            </w:r>
          </w:p>
        </w:tc>
      </w:tr>
    </w:tbl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tabs>
          <w:tab w:val="clear" w:pos="708"/>
          <w:tab w:val="left" w:pos="567" w:leader="none"/>
        </w:tabs>
        <w:ind w:left="1080" w:right="-2" w:hanging="0"/>
        <w:jc w:val="both"/>
        <w:rPr>
          <w:b/>
        </w:rPr>
      </w:pPr>
      <w:r>
        <w:rPr>
          <w:b/>
        </w:rPr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spacing w:before="0" w:after="240"/>
        <w:ind w:left="1077" w:hanging="1077"/>
        <w:contextualSpacing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0"/>
        <w:gridCol w:w="4459"/>
        <w:gridCol w:w="2213"/>
        <w:gridCol w:w="3399"/>
      </w:tblGrid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п/п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Наименование продукции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началу срока поставки продукции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Требования к окончанию срока к поставки продукции</w:t>
            </w:r>
          </w:p>
        </w:tc>
      </w:tr>
      <w:tr>
        <w:trPr/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445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3399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</w:tr>
      <w:tr>
        <w:trPr>
          <w:trHeight w:val="576" w:hRule="atLeast"/>
        </w:trPr>
        <w:tc>
          <w:tcPr>
            <w:tcW w:w="70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445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eastAsia="DengXian"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П</w:t>
            </w:r>
            <w:r>
              <w:rPr>
                <w:rFonts w:eastAsia="等线" w:cs="Times New Roman"/>
                <w:color w:val="000000"/>
                <w:kern w:val="0"/>
                <w:sz w:val="22"/>
                <w:szCs w:val="22"/>
                <w:lang w:val="ru-RU" w:eastAsia="ru-RU" w:bidi="ar-SA"/>
              </w:rPr>
              <w:t>олуприцеп ЧМЗАП (Полуприцеп-г/п 30 тн)</w:t>
            </w:r>
          </w:p>
        </w:tc>
        <w:tc>
          <w:tcPr>
            <w:tcW w:w="2213" w:type="dxa"/>
            <w:tcBorders/>
          </w:tcPr>
          <w:p>
            <w:pPr>
              <w:pStyle w:val="ListParagraph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0" w:hanging="0"/>
              <w:contextualSpacing w:val="false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 даты подписания договора</w:t>
            </w:r>
          </w:p>
        </w:tc>
        <w:tc>
          <w:tcPr>
            <w:tcW w:w="33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eastAsia="DengXian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позднее 90 дней с даты подписания договора</w:t>
            </w:r>
          </w:p>
        </w:tc>
      </w:tr>
    </w:tbl>
    <w:p>
      <w:pPr>
        <w:sectPr>
          <w:type w:val="nextPage"/>
          <w:pgSz w:w="11906" w:h="16838"/>
          <w:pgMar w:left="567" w:right="567" w:gutter="0" w:header="0" w:top="567" w:footer="0" w:bottom="1134"/>
          <w:pgNumType w:fmt="decimal"/>
          <w:formProt w:val="false"/>
          <w:textDirection w:val="lrTb"/>
          <w:docGrid w:type="default" w:linePitch="381" w:charSpace="0"/>
        </w:sectPr>
      </w:pP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567" w:leader="none"/>
        </w:tabs>
        <w:ind w:left="1080" w:right="-2" w:hanging="1080"/>
        <w:jc w:val="both"/>
        <w:rPr>
          <w:b/>
          <w:bCs/>
        </w:rPr>
      </w:pPr>
      <w:r>
        <w:rPr>
          <w:b/>
          <w:bCs/>
        </w:rPr>
        <w:t>Таблица 3. «Требования к продукции»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p>
      <w:pPr>
        <w:pStyle w:val="ListParagraph"/>
        <w:ind w:left="0" w:right="-31" w:firstLine="543"/>
        <w:jc w:val="both"/>
        <w:rPr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rPr/>
        <w:t xml:space="preserve"> </w:t>
      </w:r>
    </w:p>
    <w:p>
      <w:pPr>
        <w:pStyle w:val="ListParagraph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>
      <w:pPr>
        <w:pStyle w:val="ListParagraph"/>
        <w:tabs>
          <w:tab w:val="clear" w:pos="708"/>
          <w:tab w:val="left" w:pos="567" w:leader="none"/>
        </w:tabs>
        <w:ind w:left="1080" w:hanging="0"/>
        <w:jc w:val="both"/>
        <w:rPr>
          <w:b/>
          <w:bCs/>
        </w:rPr>
      </w:pPr>
      <w:r>
        <w:rPr>
          <w:b/>
          <w:bCs/>
        </w:rPr>
      </w:r>
    </w:p>
    <w:tbl>
      <w:tblPr>
        <w:tblStyle w:val="afff0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43"/>
        <w:gridCol w:w="3065"/>
        <w:gridCol w:w="4924"/>
        <w:gridCol w:w="2337"/>
        <w:gridCol w:w="2201"/>
        <w:gridCol w:w="1866"/>
      </w:tblGrid>
      <w:tr>
        <w:trPr>
          <w:trHeight w:val="20" w:hRule="atLeast"/>
        </w:trPr>
        <w:tc>
          <w:tcPr>
            <w:tcW w:w="743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№</w:t>
            </w: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п.п</w:t>
            </w:r>
          </w:p>
        </w:tc>
        <w:tc>
          <w:tcPr>
            <w:tcW w:w="3065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924" w:type="dxa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Требование заказчика</w:t>
            </w:r>
          </w:p>
        </w:tc>
        <w:tc>
          <w:tcPr>
            <w:tcW w:w="6404" w:type="dxa"/>
            <w:gridSpan w:val="3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Способ подтверждения участником соответствие требованиям</w:t>
            </w:r>
          </w:p>
        </w:tc>
      </w:tr>
      <w:tr>
        <w:trPr>
          <w:trHeight w:val="20" w:hRule="atLeast"/>
        </w:trPr>
        <w:tc>
          <w:tcPr>
            <w:tcW w:w="743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4924" w:type="dxa"/>
            <w:vMerge w:val="continue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等线"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37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Согласие с требованием/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Предложение  участника по характеристикам и параметрам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4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5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6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sz w:val="20"/>
                <w:szCs w:val="20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lang w:val="ru-RU" w:eastAsia="ru-RU" w:bidi="ar-SA"/>
              </w:rPr>
              <w:t>1.</w:t>
            </w:r>
          </w:p>
        </w:tc>
        <w:tc>
          <w:tcPr>
            <w:tcW w:w="7989" w:type="dxa"/>
            <w:gridSpan w:val="2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b/>
                <w:color w:val="000000"/>
                <w:sz w:val="22"/>
                <w:szCs w:val="22"/>
              </w:rPr>
            </w:pPr>
            <w:r>
              <w:rPr>
                <w:rStyle w:val="Docdata"/>
                <w:rFonts w:eastAsia="等线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П</w:t>
            </w:r>
            <w:r>
              <w:rPr>
                <w:rFonts w:eastAsia="等线" w:cs="Times New Roman"/>
                <w:b/>
                <w:color w:val="000000"/>
                <w:kern w:val="0"/>
                <w:sz w:val="22"/>
                <w:szCs w:val="22"/>
                <w:lang w:val="ru-RU" w:eastAsia="ru-RU" w:bidi="ar-SA"/>
              </w:rPr>
              <w:t>олуприцеп ЧМЗАП (Полуприцеп-г/п 30 тн)</w:t>
            </w:r>
          </w:p>
        </w:tc>
        <w:tc>
          <w:tcPr>
            <w:tcW w:w="2337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sz w:val="20"/>
                <w:szCs w:val="20"/>
                <w:highlight w:val="lightGray"/>
              </w:rPr>
            </w:pPr>
            <w:r>
              <w:rPr>
                <w:rFonts w:eastAsia="DengXian" w:cs="Times New Roman"/>
                <w:b/>
                <w:kern w:val="0"/>
                <w:sz w:val="20"/>
                <w:szCs w:val="20"/>
                <w:highlight w:val="lightGray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  <w:shd w:color="auto" w:fill="F2F2F2" w:themeFill="background1" w:themeFillShade="f2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  <w:r>
              <w:rPr>
                <w:rFonts w:eastAsia="等线" w:cs="Times New Roman"/>
                <w:b/>
                <w:bCs/>
                <w:kern w:val="0"/>
                <w:sz w:val="20"/>
                <w:szCs w:val="20"/>
                <w:highlight w:val="lightGray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Требования к техническим и функциональным характеристикам: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等线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Базовое шасси: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ЧМЗАП 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Колесная формула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6 х 6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Шины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385/65</w:t>
            </w: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R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22.</w:t>
            </w:r>
            <w:r>
              <w:rPr>
                <w:rFonts w:eastAsia="DengXian" w:cs="Times New Roman"/>
                <w:kern w:val="0"/>
                <w:sz w:val="20"/>
                <w:szCs w:val="20"/>
                <w:lang w:val="en-US" w:eastAsia="ru-RU" w:bidi="ar-SA"/>
              </w:rPr>
              <w:t>5  160J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  <w:shd w:fill="FFFFFF" w:val="clear"/>
              </w:rPr>
            </w:pPr>
            <w:r>
              <w:rPr>
                <w:rFonts w:cs="Times New Roman"/>
                <w:kern w:val="0"/>
                <w:sz w:val="20"/>
                <w:szCs w:val="20"/>
                <w:shd w:fill="FFFFFF" w:val="clear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Полная масса,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39000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Технические характеристики установки: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cs="Times New Roman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bCs/>
                <w:kern w:val="0"/>
                <w:sz w:val="20"/>
                <w:szCs w:val="20"/>
                <w:lang w:val="ru-RU" w:eastAsia="ru-RU" w:bidi="ar-SA"/>
              </w:rPr>
              <w:t>Марка, модель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left="40" w:hanging="0"/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ЧМЗАП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Масса снаряженного полуприцепа,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9000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2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Грузоподъемность,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30000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Дина платформы,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13500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Ширина платформы,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2500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Высота платформы,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600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Погрузочная высота,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1300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Число осей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3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Количество колес, шт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6, +1(запасное)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Система безопасности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«СБУК-316»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Нагрузка на седельно-сцепное устройство (ССУ) тягача, кг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12000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Подвеска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Рессорно-балансирная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Высота до ССУ,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1100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TableParagraph"/>
              <w:widowControl w:val="false"/>
              <w:numPr>
                <w:ilvl w:val="0"/>
                <w:numId w:val="8"/>
              </w:numPr>
              <w:suppressAutoHyphens w:val="true"/>
              <w:spacing w:lineRule="exact" w:line="234"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Габаритные размеры (ДхШхВ), мм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14140 х 2510 х 2950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Климатическое исполнение и категория размещения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Северное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Температура окружающего воздуха, мин/макс, ºС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-50 / +40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Назначенный срок службы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Не менее 10 лет со дня ввода в эксплуатацию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Heading1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等线" w:cs="Times New Roman"/>
                <w:b w:val="false"/>
                <w:bCs/>
                <w:kern w:val="0"/>
                <w:sz w:val="20"/>
                <w:lang w:val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Heading1"/>
              <w:widowControl w:val="false"/>
              <w:suppressAutoHyphens w:val="true"/>
              <w:spacing w:before="0" w:after="0"/>
              <w:contextualSpacing/>
              <w:jc w:val="left"/>
              <w:rPr>
                <w:b w:val="false"/>
                <w:bCs/>
                <w:sz w:val="20"/>
                <w:lang w:val="ru-RU"/>
              </w:rPr>
            </w:pPr>
            <w:r>
              <w:rPr>
                <w:rFonts w:eastAsia="DengXian" w:cs="Times New Roman"/>
                <w:b w:val="false"/>
                <w:bCs/>
                <w:kern w:val="0"/>
                <w:sz w:val="20"/>
                <w:lang w:val="ru-RU" w:bidi="ar-SA"/>
              </w:rPr>
              <w:t>Изготовление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2026г.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Коэффициент готовности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Готовность к эксплуатации с момента получения автомобиля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Место доставки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Республика Саха (Якутия), пос.</w:t>
            </w:r>
            <w:r>
              <w:rPr>
                <w:rFonts w:eastAsia="DengXian" w:cs="Times New Roman"/>
                <w:spacing w:val="-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Нижний Бестях</w:t>
            </w:r>
            <w:r>
              <w:rPr>
                <w:rFonts w:eastAsia="DengXian" w:cs="Times New Roman"/>
                <w:spacing w:val="-3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(ул.</w:t>
            </w:r>
            <w:r>
              <w:rPr>
                <w:rFonts w:eastAsia="DengXian" w:cs="Times New Roman"/>
                <w:spacing w:val="-2"/>
                <w:kern w:val="0"/>
                <w:sz w:val="20"/>
                <w:szCs w:val="20"/>
                <w:lang w:val="ru-RU" w:eastAsia="ru-RU" w:bidi="ar-SA"/>
              </w:rPr>
              <w:t xml:space="preserve"> Л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енина, д.</w:t>
            </w:r>
            <w:r>
              <w:rPr>
                <w:rFonts w:eastAsia="DengXian" w:cs="Times New Roman"/>
                <w:spacing w:val="-4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117А)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Способ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Перегон своим ходом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Условия доставки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Маркировка продукции при приёме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Серийный заводской номер (VIN), шильд завода изготовителя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-28" w:hanging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7989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b/>
                <w:bCs/>
                <w:kern w:val="0"/>
                <w:sz w:val="20"/>
                <w:szCs w:val="20"/>
                <w:lang w:val="ru-RU" w:eastAsia="ru-RU" w:bidi="ar-SA"/>
              </w:rPr>
              <w:t>Прочие требования к продукции: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22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  <w:tc>
          <w:tcPr>
            <w:tcW w:w="186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-//-</w:t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продукции техническому регламенту Таможенного союза «О безопасности колёсных транспортных средств» (ИР ТС 018/2011)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для транспортных средств, оценка соответствия которых проводилась в форме одобрения типа, — одобрение типа транспортного средства;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шасси — одобрение типа шасси;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Соответствие оборудования (КМУ) техническому регламенту Таможенного союза «О безопасности машин и оборудования» (ТР ТС 010/2011)  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67" w:leader="none"/>
              </w:tabs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Подтверждается предоставлением вместе с продукцией одного из следующих документов: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 xml:space="preserve">декларацией о соответствии; </w:t>
            </w:r>
          </w:p>
          <w:p>
            <w:pPr>
              <w:pStyle w:val="ListParagraph"/>
              <w:widowControl w:val="false"/>
              <w:numPr>
                <w:ilvl w:val="0"/>
                <w:numId w:val="7"/>
              </w:numPr>
              <w:tabs>
                <w:tab w:val="clear" w:pos="708"/>
                <w:tab w:val="left" w:pos="360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  <w:t>сертификатом соответствия.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Срок гарантии на продукцию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шасси не менее 24 месяцев или 100 000 км;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 на подъёмник не менее 12 месяцев или 1000 моточасов.</w:t>
            </w:r>
            <w:r>
              <w:rPr>
                <w:rFonts w:eastAsia="DengXi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2.1.</w:t>
              <w:tab/>
              <w:t>Таблица 2. «Требования по срокам поставки продукции»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20" w:hRule="atLeast"/>
        </w:trPr>
        <w:tc>
          <w:tcPr>
            <w:tcW w:w="743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8"/>
              </w:numPr>
              <w:suppressAutoHyphens w:val="true"/>
              <w:spacing w:before="0" w:after="0"/>
              <w:ind w:left="-2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Объем комплектации продукции</w:t>
            </w:r>
          </w:p>
        </w:tc>
        <w:tc>
          <w:tcPr>
            <w:tcW w:w="4924" w:type="dxa"/>
            <w:tcBorders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0" w:after="0"/>
              <w:ind w:left="18" w:right="297" w:firstLine="3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Специальный инструмент и принадлежности заводов-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изготовителей (ЗИП комплект) – 1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комплект.</w:t>
            </w:r>
          </w:p>
          <w:p>
            <w:pPr>
              <w:pStyle w:val="TableParagraph"/>
              <w:widowControl w:val="false"/>
              <w:suppressAutoHyphens w:val="true"/>
              <w:spacing w:lineRule="exact" w:line="252" w:before="0" w:after="0"/>
              <w:ind w:left="18" w:right="124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bidi="ar-SA"/>
              </w:rPr>
              <w:t>Паспорт транспортного средства – 1 шт.</w:t>
            </w:r>
            <w:bookmarkStart w:id="3" w:name="_GoBack"/>
            <w:bookmarkEnd w:id="3"/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rFonts w:eastAsia="DengXian"/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 xml:space="preserve">Сервисная книжка на русском языке — 1 шт.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8" w:hanging="0"/>
              <w:contextualSpacing/>
              <w:jc w:val="left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Заверенная копия свидетельства (сертификата,</w:t>
            </w:r>
            <w:r>
              <w:rPr>
                <w:rFonts w:eastAsia="DengXian" w:cs="Times New Roman"/>
                <w:spacing w:val="-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декларации)</w:t>
            </w:r>
            <w:r>
              <w:rPr>
                <w:rFonts w:eastAsia="DengXian" w:cs="Times New Roman"/>
                <w:spacing w:val="52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соответствия</w:t>
            </w:r>
            <w:r>
              <w:rPr>
                <w:rFonts w:eastAsia="DengXian" w:cs="Times New Roman"/>
                <w:spacing w:val="1"/>
                <w:kern w:val="0"/>
                <w:sz w:val="20"/>
                <w:szCs w:val="20"/>
                <w:lang w:val="ru-RU" w:eastAsia="ru-RU" w:bidi="ar-SA"/>
              </w:rPr>
              <w:t xml:space="preserve"> </w:t>
            </w: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– 1 шт.</w:t>
            </w:r>
          </w:p>
        </w:tc>
        <w:tc>
          <w:tcPr>
            <w:tcW w:w="23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20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DengXian" w:cs="Times New Roman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186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eastAsia="等线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outlineLvl w:val="0"/>
        <w:rPr>
          <w:b/>
        </w:rPr>
      </w:pPr>
      <w:r>
        <w:rPr>
          <w:b/>
        </w:rPr>
      </w:r>
    </w:p>
    <w:p>
      <w:pPr>
        <w:pStyle w:val="TOC1"/>
        <w:numPr>
          <w:ilvl w:val="0"/>
          <w:numId w:val="0"/>
        </w:numPr>
        <w:tabs>
          <w:tab w:val="left" w:pos="426" w:leader="none"/>
          <w:tab w:val="left" w:pos="567" w:leader="none"/>
          <w:tab w:val="left" w:pos="2268" w:leader="none"/>
          <w:tab w:val="right" w:pos="9639" w:leader="dot"/>
        </w:tabs>
        <w:ind w:left="720" w:hanging="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 Требования к документации по ценообразованию на этапе закупки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>
      <w:pPr>
        <w:pStyle w:val="ListParagraph"/>
        <w:numPr>
          <w:ilvl w:val="0"/>
          <w:numId w:val="6"/>
        </w:numPr>
        <w:ind w:left="851" w:hanging="360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>
      <w:pPr>
        <w:pStyle w:val="ListParagraph"/>
        <w:ind w:left="851"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В составе заявки необходимо предоставить: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>
      <w:pPr>
        <w:pStyle w:val="Normal"/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>
      <w:type w:val="nextPage"/>
      <w:pgSz w:orient="landscape" w:w="16838" w:h="11906"/>
      <w:pgMar w:left="1134" w:right="567" w:gutter="0" w:header="0" w:top="567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alibri Light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i w:val="false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  <w:rPr/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等线" w:cs="Times New Roman" w:eastAsiaTheme="minorEastAsia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1"/>
    <w:lsdException w:name="toc 2" w:uiPriority="39" w:semiHidden="1" w:qFormat="1"/>
    <w:lsdException w:name="toc 3" w:uiPriority="39" w:semiHidden="1"/>
    <w:lsdException w:name="toc 4" w:semiHidden="1" w:qFormat="1"/>
    <w:lsdException w:name="toc 5" w:semiHidden="1" w:qFormat="1"/>
    <w:lsdException w:name="toc 9" w:semiHidden="1" w:qFormat="1"/>
    <w:lsdException w:name="footnote text" w:uiPriority="99" w:semiHidden="1"/>
    <w:lsdException w:name="annotation text" w:semiHidden="1" w:qFormat="1"/>
    <w:lsdException w:name="caption" w:uiPriority="35" w:qFormat="1"/>
    <w:lsdException w:name="footnote reference" w:uiPriority="99" w:semiHidden="1"/>
    <w:lsdException w:name="annotation reference" w:semiHidden="1" w:qFormat="1"/>
    <w:lsdException w:name="Title" w:uiPriority="10" w:qFormat="1"/>
    <w:lsdException w:name="Default Paragraph Font" w:uiPriority="1" w:semiHidden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uiPriority="99" w:semiHidden="1" w:unhideWhenUsed="1"/>
    <w:lsdException w:name="HTML Bottom of Form" w:uiPriority="99" w:semiHidden="1" w:unhideWhenUsed="1"/>
    <w:lsdException w:name="Normal (Web)" w:qFormat="1"/>
    <w:lsdException w:name="Normal Table" w:uiPriority="99" w:semiHidden="1" w:unhideWhenUsed="1"/>
    <w:lsdException w:name="annotation subject" w:semiHidden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等线" w:cs="Times New Roman" w:eastAsiaTheme="minorEastAsia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pPr>
      <w:keepNext w:val="true"/>
      <w:jc w:val="center"/>
      <w:outlineLvl w:val="0"/>
    </w:pPr>
    <w:rPr>
      <w:b/>
      <w:sz w:val="24"/>
      <w:szCs w:val="20"/>
      <w:lang w:val="zh-CN" w:eastAsia="zh-CN"/>
    </w:rPr>
  </w:style>
  <w:style w:type="paragraph" w:styleId="Heading2">
    <w:name w:val="Heading 2"/>
    <w:basedOn w:val="Normal"/>
    <w:next w:val="Normal"/>
    <w:link w:val="2"/>
    <w:uiPriority w:val="9"/>
    <w:qFormat/>
    <w:pPr>
      <w:keepNext w:val="true"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Heading4">
    <w:name w:val="Heading 4"/>
    <w:basedOn w:val="Normal"/>
    <w:next w:val="Normal"/>
    <w:link w:val="4"/>
    <w:uiPriority w:val="9"/>
    <w:qFormat/>
    <w:pPr>
      <w:keepNext w:val="true"/>
      <w:spacing w:before="240" w:after="60"/>
      <w:outlineLvl w:val="3"/>
    </w:pPr>
    <w:rPr>
      <w:b/>
      <w:bCs/>
      <w:lang w:val="zh-CN" w:eastAsia="zh-CN"/>
    </w:rPr>
  </w:style>
  <w:style w:type="paragraph" w:styleId="Heading5">
    <w:name w:val="Heading 5"/>
    <w:basedOn w:val="Normal"/>
    <w:next w:val="Normal"/>
    <w:link w:val="5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Heading6">
    <w:name w:val="Heading 6"/>
    <w:basedOn w:val="Normal"/>
    <w:next w:val="Normal"/>
    <w:link w:val="6"/>
    <w:uiPriority w:val="9"/>
    <w:qFormat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Heading7">
    <w:name w:val="Heading 7"/>
    <w:basedOn w:val="Normal"/>
    <w:next w:val="Normal"/>
    <w:link w:val="7"/>
    <w:uiPriority w:val="9"/>
    <w:qFormat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Heading8">
    <w:name w:val="Heading 8"/>
    <w:basedOn w:val="Normal"/>
    <w:next w:val="Normal"/>
    <w:link w:val="8"/>
    <w:uiPriority w:val="9"/>
    <w:qFormat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Heading9">
    <w:name w:val="Heading 9"/>
    <w:basedOn w:val="Normal"/>
    <w:next w:val="Normal"/>
    <w:link w:val="9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нак сноски1"/>
    <w:qFormat/>
    <w:rPr>
      <w:vertAlign w:val="superscript"/>
    </w:rPr>
  </w:style>
  <w:style w:type="character" w:styleId="FootnoteCharacters" w:customStyle="1">
    <w:name w:val="Footnote Characters"/>
    <w:uiPriority w:val="99"/>
    <w:semiHidden/>
    <w:qFormat/>
    <w:rPr>
      <w:vertAlign w:val="superscript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Emphasis">
    <w:name w:val="Emphasis"/>
    <w:uiPriority w:val="20"/>
    <w:qFormat/>
    <w:rPr>
      <w:i/>
      <w:iCs/>
    </w:rPr>
  </w:style>
  <w:style w:type="character" w:styleId="11" w:customStyle="1">
    <w:name w:val="Гиперссылка1"/>
    <w:qFormat/>
    <w:rPr>
      <w:color w:val="0000FF"/>
      <w:u w:val="single"/>
    </w:rPr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6" w:customStyle="1">
    <w:name w:val="Заголовок 6 Знак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styleId="7" w:customStyle="1">
    <w:name w:val="Заголовок 7 Знак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styleId="8" w:customStyle="1">
    <w:name w:val="Заголовок 8 Знак"/>
    <w:uiPriority w:val="9"/>
    <w:qFormat/>
    <w:rPr>
      <w:rFonts w:ascii="Cambria" w:hAnsi="Cambria"/>
      <w:color w:val="4F81BD"/>
      <w:lang w:val="zh-CN" w:eastAsia="zh-CN"/>
    </w:rPr>
  </w:style>
  <w:style w:type="character" w:styleId="12" w:customStyle="1">
    <w:name w:val="Заголовок 1 Знак"/>
    <w:uiPriority w:val="9"/>
    <w:qFormat/>
    <w:rPr>
      <w:b/>
      <w:sz w:val="24"/>
    </w:rPr>
  </w:style>
  <w:style w:type="character" w:styleId="2" w:customStyle="1">
    <w:name w:val="Заголовок 2 Знак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styleId="3" w:customStyle="1">
    <w:name w:val="Заголовок 3 Знак"/>
    <w:uiPriority w:val="9"/>
    <w:qFormat/>
    <w:rPr>
      <w:rFonts w:ascii="Arial" w:hAnsi="Arial" w:cs="Arial"/>
      <w:b/>
      <w:bCs/>
      <w:sz w:val="26"/>
      <w:szCs w:val="26"/>
    </w:rPr>
  </w:style>
  <w:style w:type="character" w:styleId="4" w:customStyle="1">
    <w:name w:val="Заголовок 4 Знак"/>
    <w:uiPriority w:val="9"/>
    <w:qFormat/>
    <w:rPr>
      <w:b/>
      <w:bCs/>
      <w:sz w:val="28"/>
      <w:szCs w:val="28"/>
    </w:rPr>
  </w:style>
  <w:style w:type="character" w:styleId="5" w:customStyle="1">
    <w:name w:val="Заголовок 5 Знак"/>
    <w:uiPriority w:val="9"/>
    <w:qFormat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Pr>
      <w:rFonts w:ascii="Arial" w:hAnsi="Arial" w:cs="Arial"/>
      <w:sz w:val="22"/>
      <w:szCs w:val="22"/>
    </w:rPr>
  </w:style>
  <w:style w:type="character" w:styleId="Style" w:customStyle="1">
    <w:name w:val="Название Знак"/>
    <w:link w:val="111"/>
    <w:uiPriority w:val="10"/>
    <w:qFormat/>
    <w:rPr>
      <w:sz w:val="28"/>
    </w:rPr>
  </w:style>
  <w:style w:type="character" w:styleId="Style1" w:customStyle="1">
    <w:name w:val="Подзаголовок Знак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styleId="21" w:customStyle="1">
    <w:name w:val="Цитата 2 Знак"/>
    <w:link w:val="Quote"/>
    <w:uiPriority w:val="29"/>
    <w:qFormat/>
    <w:rPr>
      <w:rFonts w:ascii="Calibri" w:hAnsi="Calibri" w:eastAsia="Calibri"/>
      <w:i/>
      <w:iCs/>
      <w:color w:val="000000"/>
      <w:lang w:val="zh-CN" w:eastAsia="zh-CN"/>
    </w:rPr>
  </w:style>
  <w:style w:type="character" w:styleId="Style2" w:customStyle="1">
    <w:name w:val="Выделенная цитата Знак"/>
    <w:link w:val="IntenseQuote"/>
    <w:uiPriority w:val="30"/>
    <w:qFormat/>
    <w:rPr>
      <w:rFonts w:ascii="Calibri" w:hAnsi="Calibri" w:eastAsia="Calibri"/>
      <w:b/>
      <w:bCs/>
      <w:i/>
      <w:iCs/>
      <w:color w:val="4F81BD"/>
      <w:lang w:val="zh-CN" w:eastAsia="zh-CN"/>
    </w:rPr>
  </w:style>
  <w:style w:type="character" w:styleId="13" w:customStyle="1">
    <w:name w:val="Слабое выделение1"/>
    <w:uiPriority w:val="19"/>
    <w:qFormat/>
    <w:rPr>
      <w:i/>
      <w:iCs/>
      <w:color w:val="808080"/>
    </w:rPr>
  </w:style>
  <w:style w:type="character" w:styleId="14" w:customStyle="1">
    <w:name w:val="Сильное выделение1"/>
    <w:uiPriority w:val="21"/>
    <w:qFormat/>
    <w:rPr>
      <w:b/>
      <w:bCs/>
      <w:i/>
      <w:iCs/>
      <w:color w:val="4F81BD"/>
    </w:rPr>
  </w:style>
  <w:style w:type="character" w:styleId="15" w:customStyle="1">
    <w:name w:val="Слабая ссылка1"/>
    <w:uiPriority w:val="31"/>
    <w:qFormat/>
    <w:rPr>
      <w:smallCaps/>
      <w:color w:val="C0504D"/>
      <w:u w:val="single"/>
    </w:rPr>
  </w:style>
  <w:style w:type="character" w:styleId="16" w:customStyle="1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styleId="17" w:customStyle="1">
    <w:name w:val="Название книги1"/>
    <w:uiPriority w:val="33"/>
    <w:qFormat/>
    <w:rPr>
      <w:b/>
      <w:bCs/>
      <w:smallCaps/>
      <w:spacing w:val="5"/>
    </w:rPr>
  </w:style>
  <w:style w:type="character" w:styleId="Style3" w:customStyle="1">
    <w:name w:val="Электронная подпись Знак"/>
    <w:link w:val="E-mailSignature"/>
    <w:uiPriority w:val="99"/>
    <w:qFormat/>
    <w:rPr>
      <w:rFonts w:eastAsia="Calibri"/>
      <w:sz w:val="24"/>
      <w:szCs w:val="24"/>
    </w:rPr>
  </w:style>
  <w:style w:type="character" w:styleId="18" w:customStyle="1">
    <w:name w:val="Подпункт Знак1"/>
    <w:link w:val="Style14"/>
    <w:qFormat/>
    <w:locked/>
    <w:rPr>
      <w:sz w:val="28"/>
    </w:rPr>
  </w:style>
  <w:style w:type="character" w:styleId="Style4" w:customStyle="1">
    <w:name w:val="Текст сноски Знак"/>
    <w:uiPriority w:val="99"/>
    <w:semiHidden/>
    <w:qFormat/>
    <w:rPr/>
  </w:style>
  <w:style w:type="character" w:styleId="Style5" w:customStyle="1">
    <w:name w:val="Основной текст Знак"/>
    <w:qFormat/>
    <w:rPr>
      <w:sz w:val="28"/>
      <w:szCs w:val="28"/>
    </w:rPr>
  </w:style>
  <w:style w:type="character" w:styleId="Style6" w:customStyle="1">
    <w:name w:val="Абзац списка Знак"/>
    <w:link w:val="ListParagraph"/>
    <w:uiPriority w:val="34"/>
    <w:qFormat/>
    <w:rPr>
      <w:rFonts w:eastAsia="Calibri"/>
      <w:sz w:val="24"/>
      <w:szCs w:val="24"/>
    </w:rPr>
  </w:style>
  <w:style w:type="character" w:styleId="19" w:customStyle="1">
    <w:name w:val="Просмотренная гиперссылка1"/>
    <w:basedOn w:val="DefaultParagraphFont"/>
    <w:qFormat/>
    <w:rsid w:val="009c5439"/>
    <w:rPr>
      <w:color w:val="954F72" w:themeColor="followedHyperlink"/>
      <w:u w:val="single"/>
    </w:rPr>
  </w:style>
  <w:style w:type="character" w:styleId="Style7" w:customStyle="1">
    <w:name w:val="Основной текст с отступом Знак"/>
    <w:basedOn w:val="DefaultParagraphFont"/>
    <w:qFormat/>
    <w:rsid w:val="0030620c"/>
    <w:rPr>
      <w:sz w:val="24"/>
      <w:szCs w:val="24"/>
    </w:rPr>
  </w:style>
  <w:style w:type="character" w:styleId="Docdata" w:customStyle="1">
    <w:name w:val="docdata"/>
    <w:basedOn w:val="DefaultParagraphFont"/>
    <w:qFormat/>
    <w:rsid w:val="00a7615e"/>
    <w:rPr/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5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BodyTextIndent3">
    <w:name w:val="Body Text Indent 3"/>
    <w:basedOn w:val="Normal"/>
    <w:qFormat/>
    <w:pPr>
      <w:spacing w:before="0" w:after="120"/>
      <w:ind w:left="283" w:hanging="0"/>
    </w:pPr>
    <w:rPr>
      <w:sz w:val="16"/>
      <w:szCs w:val="16"/>
    </w:rPr>
  </w:style>
  <w:style w:type="paragraph" w:styleId="Annotationtext">
    <w:name w:val="annotation text"/>
    <w:basedOn w:val="Normal"/>
    <w:semiHidden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pPr/>
    <w:rPr>
      <w:b/>
      <w:bCs/>
    </w:rPr>
  </w:style>
  <w:style w:type="paragraph" w:styleId="FootnoteText">
    <w:name w:val="Footnote Text"/>
    <w:basedOn w:val="Normal"/>
    <w:link w:val="Style4"/>
    <w:uiPriority w:val="99"/>
    <w:semiHidden/>
    <w:pPr/>
    <w:rPr>
      <w:sz w:val="20"/>
      <w:szCs w:val="20"/>
    </w:rPr>
  </w:style>
  <w:style w:type="paragraph" w:styleId="Style10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TOC9">
    <w:name w:val="TOC 9"/>
    <w:basedOn w:val="Normal"/>
    <w:next w:val="Normal"/>
    <w:semiHidden/>
    <w:qFormat/>
    <w:pPr>
      <w:ind w:left="2240" w:hanging="0"/>
    </w:pPr>
    <w:rPr/>
  </w:style>
  <w:style w:type="paragraph" w:styleId="TOC1">
    <w:name w:val="TOC 1"/>
    <w:basedOn w:val="Normal"/>
    <w:next w:val="Normal"/>
    <w:uiPriority w:val="39"/>
    <w:pPr>
      <w:tabs>
        <w:tab w:val="clear" w:pos="708"/>
        <w:tab w:val="left" w:pos="426" w:leader="none"/>
        <w:tab w:val="left" w:pos="2268" w:leader="none"/>
        <w:tab w:val="right" w:pos="9639" w:leader="dot"/>
      </w:tabs>
    </w:pPr>
    <w:rPr/>
  </w:style>
  <w:style w:type="paragraph" w:styleId="TOC3">
    <w:name w:val="TOC 3"/>
    <w:basedOn w:val="Normal"/>
    <w:next w:val="Normal"/>
    <w:uiPriority w:val="39"/>
    <w:pPr>
      <w:ind w:left="560" w:hanging="0"/>
    </w:pPr>
    <w:rPr/>
  </w:style>
  <w:style w:type="paragraph" w:styleId="TOC2">
    <w:name w:val="TOC 2"/>
    <w:basedOn w:val="Normal"/>
    <w:next w:val="Normal"/>
    <w:uiPriority w:val="39"/>
    <w:qFormat/>
    <w:pPr>
      <w:ind w:left="280" w:hanging="0"/>
    </w:pPr>
    <w:rPr/>
  </w:style>
  <w:style w:type="paragraph" w:styleId="TOC4">
    <w:name w:val="TOC 4"/>
    <w:basedOn w:val="Normal"/>
    <w:next w:val="Normal"/>
    <w:semiHidden/>
    <w:qFormat/>
    <w:pPr>
      <w:ind w:left="840" w:hanging="0"/>
    </w:pPr>
    <w:rPr/>
  </w:style>
  <w:style w:type="paragraph" w:styleId="TOC5">
    <w:name w:val="TOC 5"/>
    <w:basedOn w:val="Normal"/>
    <w:next w:val="Normal"/>
    <w:semiHidden/>
    <w:qFormat/>
    <w:pPr>
      <w:ind w:left="1120" w:hanging="0"/>
    </w:pPr>
    <w:rPr/>
  </w:style>
  <w:style w:type="paragraph" w:styleId="BodyTextIndent">
    <w:name w:val="Body Text Indent"/>
    <w:basedOn w:val="Normal"/>
    <w:link w:val="Style7"/>
    <w:pPr>
      <w:ind w:left="360" w:hanging="0"/>
    </w:pPr>
    <w:rPr>
      <w:sz w:val="24"/>
      <w:szCs w:val="24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qFormat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BodyText3">
    <w:name w:val="Body Text 3"/>
    <w:basedOn w:val="Normal"/>
    <w:qFormat/>
    <w:pPr>
      <w:spacing w:before="0" w:after="120"/>
    </w:pPr>
    <w:rPr>
      <w:sz w:val="16"/>
      <w:szCs w:val="16"/>
    </w:rPr>
  </w:style>
  <w:style w:type="paragraph" w:styleId="BodyTextIndent2">
    <w:name w:val="Body Text Indent 2"/>
    <w:basedOn w:val="Normal"/>
    <w:qFormat/>
    <w:pPr>
      <w:spacing w:lineRule="auto" w:line="480" w:before="0" w:after="120"/>
      <w:ind w:left="283" w:hanging="0"/>
    </w:pPr>
    <w:rPr/>
  </w:style>
  <w:style w:type="paragraph" w:styleId="Subtitle">
    <w:name w:val="Subtitle"/>
    <w:basedOn w:val="Normal"/>
    <w:next w:val="Normal"/>
    <w:link w:val="Style1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BlockText">
    <w:name w:val="Block Text"/>
    <w:basedOn w:val="Normal"/>
    <w:qFormat/>
    <w:pPr>
      <w:ind w:left="-567" w:right="-766" w:hanging="0"/>
      <w:jc w:val="center"/>
    </w:pPr>
    <w:rPr>
      <w:b/>
      <w:bCs/>
      <w:sz w:val="24"/>
      <w:szCs w:val="20"/>
    </w:rPr>
  </w:style>
  <w:style w:type="paragraph" w:styleId="E-mailSignature">
    <w:name w:val="E-mail Signature"/>
    <w:basedOn w:val="Normal"/>
    <w:link w:val="Style3"/>
    <w:uiPriority w:val="99"/>
    <w:unhideWhenUsed/>
    <w:qFormat/>
    <w:pPr/>
    <w:rPr>
      <w:rFonts w:eastAsia="Calibri"/>
      <w:sz w:val="24"/>
      <w:szCs w:val="24"/>
      <w:lang w:val="zh-CN" w:eastAsia="zh-CN"/>
    </w:rPr>
  </w:style>
  <w:style w:type="paragraph" w:styleId="Style11" w:customStyle="1">
    <w:name w:val="Название раздела инструкции"/>
    <w:basedOn w:val="Normal"/>
    <w:qFormat/>
    <w:pPr/>
    <w:rPr>
      <w:b/>
      <w:sz w:val="22"/>
      <w:szCs w:val="22"/>
    </w:rPr>
  </w:style>
  <w:style w:type="paragraph" w:styleId="Style12" w:customStyle="1">
    <w:name w:val="Раздел положения"/>
    <w:basedOn w:val="Normal"/>
    <w:qFormat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3" w:customStyle="1">
    <w:name w:val="Подраздел раздела положения"/>
    <w:basedOn w:val="Normal"/>
    <w:qFormat/>
    <w:pPr>
      <w:numPr>
        <w:ilvl w:val="1"/>
        <w:numId w:val="1"/>
      </w:numPr>
      <w:spacing w:before="80" w:after="80"/>
      <w:jc w:val="both"/>
    </w:pPr>
    <w:rPr/>
  </w:style>
  <w:style w:type="paragraph" w:styleId="110" w:customStyle="1">
    <w:name w:val="Шапка 1"/>
    <w:basedOn w:val="Normal"/>
    <w:qFormat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2" w:customStyle="1">
    <w:name w:val="Шапка 2"/>
    <w:basedOn w:val="Normal"/>
    <w:qFormat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1" w:customStyle="1">
    <w:name w:val="Шапка 3"/>
    <w:basedOn w:val="Normal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11" w:customStyle="1">
    <w:name w:val="Название1"/>
    <w:basedOn w:val="Normal"/>
    <w:link w:val="Style"/>
    <w:uiPriority w:val="10"/>
    <w:qFormat/>
    <w:pPr>
      <w:jc w:val="center"/>
    </w:pPr>
    <w:rPr>
      <w:szCs w:val="20"/>
      <w:lang w:val="zh-CN" w:eastAsia="zh-CN"/>
    </w:rPr>
  </w:style>
  <w:style w:type="paragraph" w:styleId="Style14" w:customStyle="1">
    <w:name w:val="Подпункт"/>
    <w:basedOn w:val="Normal"/>
    <w:link w:val="18"/>
    <w:qFormat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zh-CN" w:eastAsia="zh-CN"/>
    </w:rPr>
  </w:style>
  <w:style w:type="paragraph" w:styleId="23" w:customStyle="1">
    <w:name w:val="Пункт2"/>
    <w:basedOn w:val="Normal"/>
    <w:qFormat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Style15" w:customStyle="1">
    <w:name w:val="Раздел регламента"/>
    <w:basedOn w:val="Normal"/>
    <w:qFormat/>
    <w:pPr/>
    <w:rPr/>
  </w:style>
  <w:style w:type="paragraph" w:styleId="Style16" w:customStyle="1">
    <w:name w:val="Приложение к регламенту"/>
    <w:basedOn w:val="Normal"/>
    <w:qFormat/>
    <w:pPr>
      <w:jc w:val="right"/>
    </w:pPr>
    <w:rPr/>
  </w:style>
  <w:style w:type="paragraph" w:styleId="24" w:customStyle="1">
    <w:name w:val="Раздел положения 2"/>
    <w:basedOn w:val="Normal"/>
    <w:qFormat/>
    <w:pPr>
      <w:pageBreakBefore/>
      <w:jc w:val="both"/>
      <w:outlineLvl w:val="0"/>
    </w:pPr>
    <w:rPr>
      <w:b/>
    </w:rPr>
  </w:style>
  <w:style w:type="paragraph" w:styleId="Style17" w:customStyle="1">
    <w:name w:val="Знак Знак Знак Знак Знак Знак Знак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pPr>
      <w:spacing w:lineRule="auto" w:line="360"/>
    </w:pPr>
    <w:rPr>
      <w:rFonts w:eastAsia="Calibri"/>
      <w:sz w:val="24"/>
      <w:szCs w:val="24"/>
    </w:rPr>
  </w:style>
  <w:style w:type="paragraph" w:styleId="ListParagraph">
    <w:name w:val="List Paragraph"/>
    <w:basedOn w:val="Normal"/>
    <w:link w:val="Style6"/>
    <w:uiPriority w:val="34"/>
    <w:qFormat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/>
    <w:rPr>
      <w:rFonts w:ascii="Calibri" w:hAnsi="Calibri" w:eastAsia="Calibri"/>
      <w:i/>
      <w:iCs/>
      <w:color w:val="000000"/>
      <w:sz w:val="20"/>
      <w:szCs w:val="20"/>
      <w:lang w:val="zh-CN" w:eastAsia="zh-CN"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zh-CN" w:eastAsia="zh-CN"/>
    </w:rPr>
  </w:style>
  <w:style w:type="paragraph" w:styleId="112" w:customStyle="1">
    <w:name w:val="Заголовок оглавления1"/>
    <w:basedOn w:val="Heading1"/>
    <w:next w:val="Normal"/>
    <w:uiPriority w:val="39"/>
    <w:qFormat/>
    <w:pPr>
      <w:keepLines/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Style18" w:customStyle="1">
    <w:name w:val="Знак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2" w:customStyle="1">
    <w:name w:val="Нумерованный список ур3"/>
    <w:basedOn w:val="Normal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5" w:customStyle="1">
    <w:name w:val="Нумерованный список ур2"/>
    <w:basedOn w:val="Normal"/>
    <w:qFormat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113" w:customStyle="1">
    <w:name w:val="Рецензия1"/>
    <w:uiPriority w:val="99"/>
    <w:semiHidden/>
    <w:qFormat/>
    <w:pPr>
      <w:widowControl/>
      <w:suppressAutoHyphens w:val="true"/>
      <w:bidi w:val="0"/>
      <w:spacing w:before="0" w:after="0"/>
      <w:jc w:val="left"/>
    </w:pPr>
    <w:rPr>
      <w:rFonts w:eastAsia="Calibri" w:ascii="Times New Roman" w:hAnsi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cs="Arial" w:eastAsia="等线" w:eastAsiaTheme="minorEastAsia"/>
      <w:color w:val="auto"/>
      <w:kern w:val="0"/>
      <w:sz w:val="20"/>
      <w:szCs w:val="20"/>
      <w:lang w:val="ru-RU" w:eastAsia="ru-RU" w:bidi="ar-SA"/>
    </w:rPr>
  </w:style>
  <w:style w:type="paragraph" w:styleId="33" w:customStyle="1">
    <w:name w:val="Знак Знак3 Знак Знак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19" w:customStyle="1">
    <w:name w:val="Пункт"/>
    <w:basedOn w:val="Normal"/>
    <w:qFormat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14" w:customStyle="1">
    <w:name w:val="Абзац списка1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0" w:customStyle="1">
    <w:name w:val="Таблица"/>
    <w:basedOn w:val="Normal"/>
    <w:qFormat/>
    <w:pPr/>
    <w:rPr>
      <w:sz w:val="20"/>
      <w:szCs w:val="20"/>
    </w:rPr>
  </w:style>
  <w:style w:type="paragraph" w:styleId="IndexHeading">
    <w:name w:val="Index Heading"/>
    <w:basedOn w:val="Style8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9c5439"/>
    <w:pPr>
      <w:keepLines/>
      <w:spacing w:lineRule="auto" w:line="259" w:before="240" w:after="0"/>
      <w:jc w:val="left"/>
      <w:outlineLvl w:val="9"/>
    </w:pPr>
    <w:rPr>
      <w:rFonts w:ascii="Calibri Light" w:hAnsi="Calibri Light" w:eastAsia="等线 Light" w:cs="" w:asciiTheme="majorHAnsi" w:cstheme="majorBidi" w:eastAsiaTheme="majorEastAsia" w:hAnsiTheme="majorHAnsi"/>
      <w:b w:val="false"/>
      <w:color w:val="2E74B5" w:themeColor="accent1" w:themeShade="bf"/>
      <w:sz w:val="32"/>
      <w:szCs w:val="32"/>
      <w:lang w:val="ru-RU" w:eastAsia="ru-RU"/>
    </w:rPr>
  </w:style>
  <w:style w:type="paragraph" w:styleId="TableParagraph" w:customStyle="1">
    <w:name w:val="Table Paragraph"/>
    <w:basedOn w:val="Normal"/>
    <w:uiPriority w:val="1"/>
    <w:qFormat/>
    <w:rsid w:val="006558fa"/>
    <w:pPr>
      <w:widowControl w:val="false"/>
    </w:pPr>
    <w:rPr>
      <w:sz w:val="22"/>
      <w:szCs w:val="22"/>
      <w:lang w:eastAsia="en-US"/>
    </w:rPr>
  </w:style>
  <w:style w:type="paragraph" w:styleId="Style21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22" w:customStyle="1">
    <w:name w:val="Заголовок таблицы"/>
    <w:basedOn w:val="Style21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DEAD5-B48D-4C96-91B6-DB30854BF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Application>AlterOffice/3.4.0.9$Linux_X86_64 LibreOffice_project/b8daf9e823b1a5463a2f48435ddc2e8696e7d4fc</Application>
  <AppVersion>15.0000</AppVersion>
  <Pages>8</Pages>
  <Words>1239</Words>
  <Characters>8527</Characters>
  <CharactersWithSpaces>9490</CharactersWithSpaces>
  <Paragraphs>328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2026-05-26T06:30:00Z</dcterms:created>
  <dc:creator>ErmolaevKA</dc:creator>
  <dc:description/>
  <dc:language>ru-RU</dc:language>
  <cp:lastModifiedBy>shirginyua@Elektra.local</cp:lastModifiedBy>
  <cp:lastPrinted>2026-06-03T10:31:00Z</cp:lastPrinted>
  <dcterms:modified xsi:type="dcterms:W3CDTF">2026-08-07T09:58:00Z</dcterms:modified>
  <cp:revision>11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